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Tēnā tūtaki mai ki te Whānau Tairongo! Ko Karu Putē, ka hī ngā pewa. Ko Taringa Rahirahi, ka areare kau. Ko Miti Te Miti, ko ia mō te...miti. Ko Ringa Raweke, ka toro, ka tutu, ka rāwekeweke. Ko Pīhau Pāua, ka hongihongi, ka tū. He rauemi tēnei mā te tamaiti kōhungahunga me ōna uri e whakataki ana i ngā mahi ā-tairongo ka taea hei mahi ako, hei mahi whakangahau hoki. Kawea ake!</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He mea whakaputa tēnei rauemi mō Te Tāhuhu o te Mātauranga e CORE Education Ltd</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Pouaka Poutāpeta 13 678, Ōtautahi, 8141 Aotearoa</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www.core-ed.org</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Kaituhi: Lisa Berryman &amp; Nichole Gully, CORE Education</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Kaitirotiro matua: Wawaro Te Whaiti, CORE Education</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Kaihoahoa: Scott Pearson, Visual Evolutions</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Kaitārai pikitia: Scott Pearson, Visual Evolutions</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Mana pupuri © Te Tāhuhu o te Mātauranga 2020</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Mana pupuri i ngā tuhinga © Te Tāhuhu o te Mātauranga 2020</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Mana pupuri i ngā hoahoatanga © Te Tāhuhu o te Mātauranga 2020</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Mana pupuri i ngā tānga © Te Tāhuhu o te Mātauranga 2020</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